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19" w:rsidRPr="00D82407" w:rsidRDefault="00443119">
      <w:pPr>
        <w:rPr>
          <w:rFonts w:cs="B Zar"/>
          <w:rtl/>
          <w:lang w:bidi="fa-IR"/>
        </w:rPr>
      </w:pPr>
    </w:p>
    <w:p w:rsidR="00454FA0" w:rsidRPr="00D82407" w:rsidRDefault="00454FA0">
      <w:pPr>
        <w:rPr>
          <w:rFonts w:cs="B Zar"/>
          <w:rtl/>
          <w:lang w:bidi="fa-IR"/>
        </w:rPr>
      </w:pPr>
    </w:p>
    <w:p w:rsidR="00454FA0" w:rsidRDefault="00454FA0" w:rsidP="00454FA0">
      <w:pPr>
        <w:jc w:val="center"/>
        <w:rPr>
          <w:rFonts w:cs="B Zar"/>
          <w:b/>
          <w:bCs/>
          <w:sz w:val="18"/>
          <w:szCs w:val="22"/>
          <w:rtl/>
        </w:rPr>
      </w:pPr>
      <w:bookmarkStart w:id="0" w:name="_GoBack"/>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bookmarkEnd w:id="0"/>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1042"/>
        <w:gridCol w:w="949"/>
        <w:gridCol w:w="1047"/>
        <w:gridCol w:w="1080"/>
        <w:gridCol w:w="1047"/>
        <w:gridCol w:w="1027"/>
        <w:gridCol w:w="952"/>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1523"/>
        <w:gridCol w:w="1329"/>
        <w:gridCol w:w="1329"/>
        <w:gridCol w:w="1155"/>
        <w:gridCol w:w="580"/>
        <w:gridCol w:w="614"/>
        <w:gridCol w:w="580"/>
        <w:gridCol w:w="580"/>
        <w:gridCol w:w="956"/>
        <w:gridCol w:w="2782"/>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7909A7">
      <w:pPr>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7909A7">
      <w:pPr>
        <w:ind w:right="-357"/>
        <w:rPr>
          <w:rFonts w:cs="B Zar"/>
          <w:b/>
          <w:bCs/>
          <w:sz w:val="16"/>
          <w:szCs w:val="16"/>
          <w:rtl/>
          <w:lang w:bidi="fa-IR"/>
        </w:rPr>
      </w:pPr>
      <w:r w:rsidRPr="009E394F">
        <w:rPr>
          <w:rFonts w:cs="B Zar" w:hint="cs"/>
          <w:b/>
          <w:bCs/>
          <w:sz w:val="22"/>
          <w:szCs w:val="22"/>
          <w:rtl/>
        </w:rPr>
        <w:t xml:space="preserve">بندهای 11 و 12 ویرایش علمی کتاب یا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3D1" w:rsidRDefault="00D803D1" w:rsidP="00DD15E9">
      <w:r>
        <w:separator/>
      </w:r>
    </w:p>
  </w:endnote>
  <w:endnote w:type="continuationSeparator" w:id="0">
    <w:p w:rsidR="00D803D1" w:rsidRDefault="00D803D1"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3D1" w:rsidRDefault="00D803D1" w:rsidP="00DD15E9">
      <w:r>
        <w:separator/>
      </w:r>
    </w:p>
  </w:footnote>
  <w:footnote w:type="continuationSeparator" w:id="0">
    <w:p w:rsidR="00D803D1" w:rsidRDefault="00D803D1"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75"/>
    <w:rsid w:val="000433AD"/>
    <w:rsid w:val="00057278"/>
    <w:rsid w:val="00084A73"/>
    <w:rsid w:val="000D52CB"/>
    <w:rsid w:val="00127518"/>
    <w:rsid w:val="001C0748"/>
    <w:rsid w:val="001D0902"/>
    <w:rsid w:val="002043CF"/>
    <w:rsid w:val="002655F0"/>
    <w:rsid w:val="00280398"/>
    <w:rsid w:val="003007A0"/>
    <w:rsid w:val="00382FB9"/>
    <w:rsid w:val="00387CC6"/>
    <w:rsid w:val="003E0928"/>
    <w:rsid w:val="00443119"/>
    <w:rsid w:val="00454FA0"/>
    <w:rsid w:val="004916B1"/>
    <w:rsid w:val="00495CB5"/>
    <w:rsid w:val="004B7960"/>
    <w:rsid w:val="004E6022"/>
    <w:rsid w:val="0055762D"/>
    <w:rsid w:val="007909A7"/>
    <w:rsid w:val="007976F2"/>
    <w:rsid w:val="007E60DD"/>
    <w:rsid w:val="007F056F"/>
    <w:rsid w:val="0081703E"/>
    <w:rsid w:val="00857555"/>
    <w:rsid w:val="009E006B"/>
    <w:rsid w:val="009E394F"/>
    <w:rsid w:val="00A1227A"/>
    <w:rsid w:val="00A86235"/>
    <w:rsid w:val="00BD49E1"/>
    <w:rsid w:val="00BE2216"/>
    <w:rsid w:val="00CC72BF"/>
    <w:rsid w:val="00CF0B2A"/>
    <w:rsid w:val="00D803D1"/>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9FF94-DD4E-449E-A40F-A016860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DF1E0-F689-424D-B944-23CFA6DA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Hooshmand Rayaneh</cp:lastModifiedBy>
  <cp:revision>2</cp:revision>
  <dcterms:created xsi:type="dcterms:W3CDTF">2017-05-09T08:31:00Z</dcterms:created>
  <dcterms:modified xsi:type="dcterms:W3CDTF">2017-05-09T08:31:00Z</dcterms:modified>
</cp:coreProperties>
</file>